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5157">
      <w:pPr>
        <w:rPr>
          <w:b/>
        </w:rPr>
      </w:pPr>
      <w:r>
        <w:rPr>
          <w:b/>
        </w:rPr>
        <w:t>1. Укладка экстренной профилактики парентеральных инфекций</w:t>
      </w:r>
    </w:p>
    <w:p w14:paraId="2F57C76E">
      <w:r>
        <w:rPr>
          <w:b/>
        </w:rPr>
        <w:t xml:space="preserve">Где хранить укладку. </w:t>
      </w:r>
      <w:r>
        <w:t>Храните укладки экстренной профилактики парентеральных инфекций во всех кабинетах подразделений, где персонал может контактировать с биоматериалами пациентов (приказ Минтруда от 18.12.2020 № 928н), а также в местах проведения иммунизации (пп. 4215–4216 СанПиН 3.3686-21).</w:t>
      </w:r>
    </w:p>
    <w:p w14:paraId="685EF623"/>
    <w:p w14:paraId="17A1B864">
      <w:r>
        <w:rPr>
          <w:b/>
        </w:rPr>
        <w:t>Как формировать состав.</w:t>
      </w:r>
      <w:r>
        <w:t xml:space="preserve"> Укомплектуйте укладку для экстренной профилактики парентеральных инфекций по приказу Минздрава от </w:t>
      </w:r>
      <w:r>
        <w:rPr>
          <w:rFonts w:hint="default"/>
          <w:lang w:val="ru-RU"/>
        </w:rPr>
        <w:t>11</w:t>
      </w:r>
      <w:r>
        <w:t>.0</w:t>
      </w:r>
      <w:r>
        <w:rPr>
          <w:rFonts w:hint="default"/>
          <w:lang w:val="ru-RU"/>
        </w:rPr>
        <w:t>4</w:t>
      </w:r>
      <w:r>
        <w:t>.20</w:t>
      </w:r>
      <w:r>
        <w:rPr>
          <w:rFonts w:hint="default"/>
          <w:lang w:val="ru-RU"/>
        </w:rPr>
        <w:t>25</w:t>
      </w:r>
      <w:r>
        <w:t xml:space="preserve"> № 1</w:t>
      </w:r>
      <w:r>
        <w:rPr>
          <w:rFonts w:hint="default"/>
          <w:lang w:val="ru-RU"/>
        </w:rPr>
        <w:t>89</w:t>
      </w:r>
      <w:r>
        <w:t>н. Что включить в состав укладки, смотрите в таблице ниже.</w:t>
      </w:r>
    </w:p>
    <w:p w14:paraId="6051B9B6">
      <w:pPr>
        <w:rPr>
          <w:lang w:val="ru-RU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82"/>
        <w:gridCol w:w="4380"/>
        <w:gridCol w:w="3082"/>
      </w:tblGrid>
      <w:tr w14:paraId="4A12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2" w:type="dxa"/>
          </w:tcPr>
          <w:p w14:paraId="5A746C8C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Код</w:t>
            </w:r>
            <w:r>
              <w:rPr>
                <w:rFonts w:hint="default"/>
                <w:vertAlign w:val="baseline"/>
                <w:lang w:val="ru-RU"/>
              </w:rPr>
              <w:t xml:space="preserve"> изделия по номенклатуре медизделий или АТХ</w:t>
            </w:r>
          </w:p>
        </w:tc>
        <w:tc>
          <w:tcPr>
            <w:tcW w:w="4380" w:type="dxa"/>
          </w:tcPr>
          <w:p w14:paraId="26D9D42A">
            <w:pPr>
              <w:rPr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Наименование</w:t>
            </w:r>
          </w:p>
        </w:tc>
        <w:tc>
          <w:tcPr>
            <w:tcW w:w="3082" w:type="dxa"/>
          </w:tcPr>
          <w:p w14:paraId="04B0B836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Количество</w:t>
            </w:r>
            <w:r>
              <w:rPr>
                <w:rFonts w:hint="default"/>
                <w:vertAlign w:val="baseline"/>
                <w:lang w:val="ru-RU"/>
              </w:rPr>
              <w:t xml:space="preserve"> (не менее)</w:t>
            </w:r>
          </w:p>
        </w:tc>
      </w:tr>
      <w:tr w14:paraId="263F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2" w:type="dxa"/>
          </w:tcPr>
          <w:p w14:paraId="7C162066">
            <w:pPr>
              <w:rPr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D08AG03</w:t>
            </w:r>
          </w:p>
        </w:tc>
        <w:tc>
          <w:tcPr>
            <w:tcW w:w="4380" w:type="dxa"/>
          </w:tcPr>
          <w:p w14:paraId="2A6A1630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Йод</w:t>
            </w:r>
            <w:r>
              <w:rPr>
                <w:rFonts w:hint="default"/>
                <w:vertAlign w:val="baseline"/>
                <w:lang w:val="ru-RU"/>
              </w:rPr>
              <w:t xml:space="preserve"> (калия йодид + этанол), раствор для наружного применения 5%</w:t>
            </w:r>
          </w:p>
        </w:tc>
        <w:tc>
          <w:tcPr>
            <w:tcW w:w="3082" w:type="dxa"/>
          </w:tcPr>
          <w:p w14:paraId="2B4037EB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 мл</w:t>
            </w:r>
          </w:p>
        </w:tc>
      </w:tr>
      <w:tr w14:paraId="5348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2" w:type="dxa"/>
          </w:tcPr>
          <w:p w14:paraId="4B514ADA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D08AX08 или D08AC02</w:t>
            </w:r>
            <w:bookmarkStart w:id="0" w:name="_GoBack"/>
            <w:bookmarkEnd w:id="0"/>
          </w:p>
        </w:tc>
        <w:tc>
          <w:tcPr>
            <w:tcW w:w="4380" w:type="dxa"/>
          </w:tcPr>
          <w:p w14:paraId="43B6F01F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Этанол</w:t>
            </w:r>
            <w:r>
              <w:rPr>
                <w:rFonts w:hint="default"/>
                <w:vertAlign w:val="baseline"/>
                <w:lang w:val="ru-RU"/>
              </w:rPr>
              <w:t xml:space="preserve">, раствор для наружного применения 70%, или Хлоргексидин, раствор для наружного применения спиртовой, 0,05% </w:t>
            </w:r>
          </w:p>
        </w:tc>
        <w:tc>
          <w:tcPr>
            <w:tcW w:w="3082" w:type="dxa"/>
          </w:tcPr>
          <w:p w14:paraId="6D5787D5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100 мл</w:t>
            </w:r>
          </w:p>
        </w:tc>
      </w:tr>
      <w:tr w14:paraId="60CC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2" w:type="dxa"/>
          </w:tcPr>
          <w:p w14:paraId="779E879A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150140</w:t>
            </w:r>
          </w:p>
        </w:tc>
        <w:tc>
          <w:tcPr>
            <w:tcW w:w="4380" w:type="dxa"/>
          </w:tcPr>
          <w:p w14:paraId="125E6C26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Рулом</w:t>
            </w:r>
            <w:r>
              <w:rPr>
                <w:rFonts w:hint="default"/>
                <w:vertAlign w:val="baseline"/>
                <w:lang w:val="ru-RU"/>
              </w:rPr>
              <w:t xml:space="preserve"> марлевый, стерильный, нетканный</w:t>
            </w:r>
          </w:p>
        </w:tc>
        <w:tc>
          <w:tcPr>
            <w:tcW w:w="3082" w:type="dxa"/>
          </w:tcPr>
          <w:p w14:paraId="07A9B220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 шт.</w:t>
            </w:r>
          </w:p>
        </w:tc>
      </w:tr>
      <w:tr w14:paraId="50D1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2" w:type="dxa"/>
          </w:tcPr>
          <w:p w14:paraId="26011A9B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142270</w:t>
            </w:r>
          </w:p>
        </w:tc>
        <w:tc>
          <w:tcPr>
            <w:tcW w:w="4380" w:type="dxa"/>
          </w:tcPr>
          <w:p w14:paraId="6E19A30A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Лейкопластырь</w:t>
            </w:r>
            <w:r>
              <w:rPr>
                <w:rFonts w:hint="default"/>
                <w:vertAlign w:val="baseline"/>
                <w:lang w:val="ru-RU"/>
              </w:rPr>
              <w:t xml:space="preserve"> для кожных покровов бактерицидный не менее 1,9 на 7,2 см</w:t>
            </w:r>
          </w:p>
        </w:tc>
        <w:tc>
          <w:tcPr>
            <w:tcW w:w="3082" w:type="dxa"/>
          </w:tcPr>
          <w:p w14:paraId="6B54ED5B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 шт.</w:t>
            </w:r>
          </w:p>
        </w:tc>
      </w:tr>
      <w:tr w14:paraId="4B31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2" w:type="dxa"/>
          </w:tcPr>
          <w:p w14:paraId="752A8B56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223580 или 302910</w:t>
            </w:r>
          </w:p>
        </w:tc>
        <w:tc>
          <w:tcPr>
            <w:tcW w:w="4380" w:type="dxa"/>
          </w:tcPr>
          <w:p w14:paraId="2074AFED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Салфетка</w:t>
            </w:r>
            <w:r>
              <w:rPr>
                <w:rFonts w:hint="default"/>
                <w:vertAlign w:val="baseline"/>
                <w:lang w:val="ru-RU"/>
              </w:rPr>
              <w:t xml:space="preserve"> марлевая тканая стерильная не менее 16 на 13 см № 10, или салфетка нетканая стерильная не менее 16 на 13 см № 10</w:t>
            </w:r>
          </w:p>
        </w:tc>
        <w:tc>
          <w:tcPr>
            <w:tcW w:w="3082" w:type="dxa"/>
          </w:tcPr>
          <w:p w14:paraId="6187313B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 упаковки</w:t>
            </w:r>
          </w:p>
        </w:tc>
      </w:tr>
    </w:tbl>
    <w:p w14:paraId="3E605AA3">
      <w:pPr>
        <w:rPr>
          <w:lang w:val="ru-RU"/>
        </w:rPr>
      </w:pPr>
    </w:p>
    <w:p w14:paraId="478249AB"/>
    <w:p w14:paraId="27462E07">
      <w:pPr>
        <w:rPr>
          <w:b/>
        </w:rPr>
      </w:pPr>
      <w:r>
        <w:rPr>
          <w:b/>
        </w:rPr>
        <w:t>2. Аптечка для оказания первой помощи работнику</w:t>
      </w:r>
    </w:p>
    <w:p w14:paraId="41D345F3">
      <w:r>
        <w:rPr>
          <w:b/>
        </w:rPr>
        <w:t xml:space="preserve">Где хранить аптечку. </w:t>
      </w:r>
      <w:r>
        <w:t>Храните аптечку для оказания первой помощи работнику так, чтобы сотрудники могли воспользоваться укладкой в любое время работы: ночью при круглосуточном режиме работы, а также в выходные дни. Пост с аптечкой для оказания первой помощи работнику должен быть в любой организации (ч. 1 ст. 216.3 ТК). Например, в приемном отделении стационара.</w:t>
      </w:r>
    </w:p>
    <w:p w14:paraId="5E14A526"/>
    <w:p w14:paraId="0B3E486A">
      <w:r>
        <w:rPr>
          <w:b/>
        </w:rPr>
        <w:t>Как формировать состав.</w:t>
      </w:r>
      <w:r>
        <w:t xml:space="preserve"> Включайте в аптечку инструкцию по оказанию первой помощи и комплектуйте состав с </w:t>
      </w:r>
      <w:r>
        <w:rPr>
          <w:lang w:val="ru-RU"/>
        </w:rPr>
        <w:t>по приказу</w:t>
      </w:r>
      <w:r>
        <w:t xml:space="preserve"> Минздрава от 24.05.2024 № 262н</w:t>
      </w:r>
      <w:r>
        <w:rPr>
          <w:lang w:val="ru-RU"/>
        </w:rPr>
        <w:t xml:space="preserve">. </w:t>
      </w:r>
      <w:r>
        <w:t xml:space="preserve">Если аптечка хранится в отделении, то она должна находиться в доступном месте, например на посту медсестры. На стенах и дверях помещений, где расположены аптечки, надо разместить знак ап первой помощи — белый крест на зеленом фоне (таблица Л.2 ГОСТ 12.4.026-2015). Размещение аптечек должно быть указано на плане эвакуации. </w:t>
      </w:r>
    </w:p>
    <w:p w14:paraId="4B78E37E">
      <w:r>
        <w:t>Если укомплектовали аптечки до дня вступления в силу приказа Минздрава от 24.05.2024 № 262н, их можно применять до истечения срока годности содержащихся в них медицинских изделий, но не позднее 1 сентября 2027 г.</w:t>
      </w:r>
    </w:p>
    <w:p w14:paraId="46E0701C"/>
    <w:p w14:paraId="376B1841">
      <w:r>
        <w:t>Актуальный состав аптечки смотрите в таблице.</w:t>
      </w:r>
    </w:p>
    <w:p w14:paraId="12344EF0">
      <w:pPr>
        <w:jc w:val="center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Комплектация аптечки для оказания работниками первой помощи пострадавшим с применением медицинских изделий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7"/>
        <w:gridCol w:w="1297"/>
        <w:gridCol w:w="3287"/>
        <w:gridCol w:w="3228"/>
        <w:gridCol w:w="930"/>
      </w:tblGrid>
      <w:tr w14:paraId="3ED13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C91D4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DDCA8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Код вида номенклатурной классификации медицинских изделий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B2CDB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E966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2A82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Требуемое количество (не менее)</w:t>
            </w:r>
          </w:p>
        </w:tc>
      </w:tr>
      <w:tr w14:paraId="1B2D6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EDF1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2DF7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182450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64CF4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Маска хирургическая/медицинская, одноразового использования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99F9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Маска медицинская нестерильная одноразовая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AC6C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</w:tr>
      <w:tr w14:paraId="72EED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A0DA8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F2723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367580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49CC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2A9C3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212B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F97C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DC76D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3DBD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122540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3A934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из латекса гевеи, неопудренные, нестерильные, не антибактериальные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E0F6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медицинские нестерильные, размером не менее M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AC39F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 пары</w:t>
            </w:r>
          </w:p>
        </w:tc>
      </w:tr>
      <w:tr w14:paraId="60A0E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4EC1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78F8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122560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112B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из латекса гевеи, опудренные, нестерильные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C9BD1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B1CC3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2D5A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5455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BB086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139350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7F464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из полихлоропрена, неопудренные, нестерильные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27484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160C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D395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4A47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67A17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139360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2B8C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из полихлоропрена, опудренные, нестерильные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D964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F8D33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D777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32933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77798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185830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02BC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нитриловые, неопудренные, нестерильные, не антибактериальные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C05C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1079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4FF9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FD61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DFFB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185850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93E1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нитриловые, опудренные, нестерильные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2861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821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7BF0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97F38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FDA6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205280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F0363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виниловые, неопудренные, нестерильные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EE15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001E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49C3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41221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2067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205290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4446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виниловые, опудренные, нестерильные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CF76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92BA4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A741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77D4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A84C8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298450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04485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из гваюлового латекса, неопудренные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25A11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EF4C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AC7E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4F6F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4C52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320790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91BE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7E377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8C6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384D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F0F6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F959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321530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58FB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полиизопреновые, неопудренные, нестерильные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4ADD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41013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448A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39CC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D74C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349230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9857C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полиизопреновые, опудренные, нестерильные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2CF09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3EAE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8EBC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20791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7E1E4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351490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C752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Перчатки смотровые/процедурные из латекса гевеи, неопудренные, антибактериальные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9BEF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1A59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B475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1BB6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B2BD4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327410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B621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219A3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Устройство для проведения искусственного дыхания "Рот-Устройство-Рот"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2240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</w:tr>
      <w:tr w14:paraId="34463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093D9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3F32E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351540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1BF66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Загубник/покрытие для сердечно-легочной реанимации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E567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19D04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8509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0932D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55356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210370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6FD73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F843E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423A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14:paraId="70E73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F8507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E4FC3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210380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8E9E7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7071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DB65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857E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BEE38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5.</w:t>
            </w:r>
          </w:p>
          <w:p w14:paraId="3C330003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3CF8BF8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775BE26C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B7EF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150130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91C44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Рулон марлевый тканый, нестерильный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FB04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Бинт марлевый медицинский размером не менее 5 м x 10 см или бинт фиксирующий эластичный нестерильный размером не менее 2 м x 10 см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9F3AB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4 шт.</w:t>
            </w:r>
          </w:p>
        </w:tc>
      </w:tr>
      <w:tr w14:paraId="540C8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11BF8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F50F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150140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0618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Рулон марлевый тканый, стерильный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EA264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8A611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ECD6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A7427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CEEF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279290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C3AB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Бинт эластичный, нелатексный, одноразового использования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E1549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6A051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403F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076B9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FCA6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326320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001E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Бинт эластичный, нелатексный, многоразового использования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2D94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13BC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151E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0F00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6.</w:t>
            </w:r>
          </w:p>
          <w:p w14:paraId="2D180388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1D3A3654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61EFAE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2272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150130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F8558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Рулон марлевый тканый, нестерильный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E482C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Бинт марлевый медицинский размером не менее 7 м x 14 см или бинт фиксирующий эластичный нестерильный размером не менее 2 м x 14 см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351A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4 шт.</w:t>
            </w:r>
          </w:p>
        </w:tc>
      </w:tr>
      <w:tr w14:paraId="66484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A487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E6D5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150140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B116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Рулон марлевый тканый, стерильный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990B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C009D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8A16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4A16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28363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279290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A868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Бинт эластичный, нелатексный, одноразового использования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B66B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FB86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BD98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B3E3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2CF7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326320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B0003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Бинт эластичный, нелатексный, многоразового использования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7FB1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A4B7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DAF3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9BEF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7.</w:t>
            </w:r>
          </w:p>
          <w:p w14:paraId="478E396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4B755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223580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036FC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Салфетка марлевая тканая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59F6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Салфетки медицинские стерильные размером не менее 16 x 13 см № 10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F5FF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 упак.</w:t>
            </w:r>
          </w:p>
        </w:tc>
      </w:tr>
      <w:tr w14:paraId="1409A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B33D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5910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302910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06A0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Салфетка нетканая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3FB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05238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A081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F699D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D7553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122900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CFCBC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Лейкопластырь кожный гипоаллергенный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2700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Лейкопластырь фиксирующий рулонный размером не менее 2 x 500 см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8D56B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14:paraId="2AC67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C7B5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F328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136010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151F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Лейкопластырь кожный для фиксации повязки, несиликоновый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66913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847C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AF12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1D179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1334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141730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2A6AC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Лейкопластырь кожный для фиксации повязки, силиконовый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6C974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2DCC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4849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EE6F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FE94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269230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E3CD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Лейкопластырь кожный водонепроницаемый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F29D4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FE64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8939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C277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D82B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142270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48495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E10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Лейкопластырь бактерицидный размером не менее 1,9 x 7,2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B400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10 шт.</w:t>
            </w:r>
          </w:p>
        </w:tc>
      </w:tr>
      <w:tr w14:paraId="05775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0FB43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003AC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142270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0E1A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5959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Лейкопластырь бактерицидный размером не менее 4 x 10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17EB1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</w:tr>
      <w:tr w14:paraId="0207C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5CCF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EBE7E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293880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22005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Одеяло спасательное, многоразового использования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6F887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Покрывало спасательное изотермическое размером не менее 160 x210 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83DCB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</w:tr>
      <w:tr w14:paraId="7E315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BB44F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EAAA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116910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7490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7A79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Ножницы для разрезания перевязочного материала и ткани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D55C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14:paraId="44CB5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B6B58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85DB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260590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59FF7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6F788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94341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24F0614">
      <w:pPr>
        <w:rPr>
          <w:rFonts w:hAnsi="Times New Roman" w:cs="Times New Roman"/>
          <w:color w:val="000000"/>
          <w:sz w:val="20"/>
          <w:szCs w:val="20"/>
        </w:rPr>
      </w:pPr>
    </w:p>
    <w:tbl>
      <w:tblPr>
        <w:tblStyle w:val="9"/>
        <w:tblW w:w="902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7113"/>
        <w:gridCol w:w="1368"/>
      </w:tblGrid>
      <w:tr w14:paraId="6F239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529B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D4234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2CFAC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Требуемое количество (не менее)</w:t>
            </w:r>
          </w:p>
        </w:tc>
      </w:tr>
      <w:tr w14:paraId="378C0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D62CB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F7E4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Инструкция по оказанию первой помощи с использованием аптечки для оказания работниками первой помощи пострадавшим с применением медицинских изделий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6D7DF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14:paraId="02918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BB5A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701B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Блокнот формата не менее A7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20B18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14:paraId="6DC6D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3F95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1A62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Маркер черный (синий) или карандаш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937F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14:paraId="713DE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D98B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0D8B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Футляр или сумка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2251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</w:tbl>
    <w:p w14:paraId="66D16396">
      <w:pPr>
        <w:rPr>
          <w:rFonts w:hAnsi="Times New Roman" w:cs="Times New Roman"/>
          <w:color w:val="000000"/>
          <w:sz w:val="20"/>
          <w:szCs w:val="20"/>
        </w:rPr>
      </w:pPr>
    </w:p>
    <w:p w14:paraId="1BB50254">
      <w:pPr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3. При комплектации аптечки допускается комплектация:</w:t>
      </w:r>
    </w:p>
    <w:p w14:paraId="614DDCC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одного медицинского изделия из числа включенных соответственно в подпункты 4, 8 и 12 пункта 1 настоящих требований;</w:t>
      </w:r>
    </w:p>
    <w:p w14:paraId="1CFE9EF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комбинации медицинских изделий с учетом требуемого минимального количества из числа включенных соответственно в подпункты 1-3 и 5-7 пункта 1 настоящих требований.</w:t>
      </w:r>
    </w:p>
    <w:p w14:paraId="76D88375"/>
    <w:p w14:paraId="10B691C4">
      <w:pPr>
        <w:rPr>
          <w:b/>
        </w:rPr>
      </w:pPr>
      <w:r>
        <w:rPr>
          <w:b/>
        </w:rPr>
        <w:t>3. Укладка для оказания помощи при анафилактическом шоке</w:t>
      </w:r>
    </w:p>
    <w:p w14:paraId="651A8A7A">
      <w:r>
        <w:rPr>
          <w:b/>
        </w:rPr>
        <w:t>Где хранить укладку.</w:t>
      </w:r>
      <w:r>
        <w:t xml:space="preserve"> Храните по одной укладке для оказания помощи при анафилактическом шоке в каждом помещении, где персонал проводит инвазивные процедуры. Укомплектуйте места проведения иммунизации, в том числе на дому, на месте пребывания и на предприятиях (пп. 4215, 4216 СанПиН 3.3686-21). Сформируйте укладки в помещениях, где проводят местную анестезию, процедурных и манипуляционных, кабинете стоматолога, кабинетах КТ и рентгенографии, в которых проводят контрастирование. В роддомах и перинатальных центрах укладки комплектуйте для отделения патологии беременных, послеродового и гинекологического отделения.</w:t>
      </w:r>
    </w:p>
    <w:p w14:paraId="49957F16"/>
    <w:p w14:paraId="48D4C7D4">
      <w:pPr>
        <w:rPr>
          <w:lang w:val="ru-RU"/>
        </w:rPr>
      </w:pPr>
      <w:r>
        <w:rPr>
          <w:b/>
        </w:rPr>
        <w:t>Как формировать состав.</w:t>
      </w:r>
      <w:r>
        <w:t xml:space="preserve"> Сформируйте состав противошоковой укладки по клинрекам «Анафилактический шок» 202</w:t>
      </w:r>
      <w:r>
        <w:rPr>
          <w:rFonts w:hint="default"/>
          <w:lang w:val="ru-RU"/>
        </w:rPr>
        <w:t>5</w:t>
      </w:r>
      <w:r>
        <w:t xml:space="preserve"> года и утвердите локальным актом руководителя медорганизации. Какие медизделия добавить в укладку, смотрите в чек-листе далее. Вложите в укладку алгоритм действий медсестры при анафилактическом шоке. Положите в укладку для оказания помощи при анафилактическом шоке как минимум два препарата из списка глюкокортикостероидов. Необязательно добавлять все перечисленные препараты. Полный список лекарств для противошокового набора смотрите </w:t>
      </w:r>
      <w:r>
        <w:rPr>
          <w:lang w:val="ru-RU"/>
        </w:rPr>
        <w:t>далее.</w:t>
      </w:r>
    </w:p>
    <w:p w14:paraId="5715D474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0"/>
          <w:szCs w:val="20"/>
          <w:lang w:val="ru-RU"/>
        </w:rPr>
        <w:t>Рекомендуемый противошоковый набор (для процедурных, стоматологических кабинетов) *</w:t>
      </w:r>
    </w:p>
    <w:p w14:paraId="5B73AF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Раствор эпинефрин 0,1 % в ампулах № 10</w:t>
      </w:r>
    </w:p>
    <w:p w14:paraId="2BD299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Раствор преднизолона (30 мг) в ампулах №10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 xml:space="preserve"> И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en-US"/>
        </w:rPr>
        <w:t>/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>ИЛИ р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аствор дексаметазона (4 мг) в ампулах № 10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 xml:space="preserve"> И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en-US"/>
        </w:rPr>
        <w:t>/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>ИЛИ р</w:t>
      </w: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аствор гидрокортизона 100 мг - № 10</w:t>
      </w:r>
    </w:p>
    <w:p w14:paraId="58B70B7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Дифенгидрамин 1% в ампулах №10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 xml:space="preserve"> И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en-US"/>
        </w:rPr>
        <w:t>/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>ИЛИ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Клемастин 0,1% - 2 мл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>И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en-US"/>
        </w:rPr>
        <w:t>/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>ИЛИ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Хлоропирамин 2% - 1 мл</w:t>
      </w:r>
    </w:p>
    <w:p w14:paraId="66006D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Сальбутамол аэрозоль для ингаляций дозированный 100 мкг/доза №2</w:t>
      </w:r>
    </w:p>
    <w:p w14:paraId="2206AB7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Раствор декстрозы 40% в ампулах № 20</w:t>
      </w:r>
    </w:p>
    <w:p w14:paraId="19F775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Раствор хлорида натрия 0,9% в ампулах № 20</w:t>
      </w:r>
    </w:p>
    <w:p w14:paraId="666AC02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Раствор декстрозы 5% – 250 мл (стерильно) № 2</w:t>
      </w:r>
    </w:p>
    <w:p w14:paraId="654767C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Раствор натрия хлорида 0,9% - 400 мл №2</w:t>
      </w:r>
    </w:p>
    <w:p w14:paraId="1DE30CC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Раствор атропина 0,1% в ампулах №5</w:t>
      </w:r>
    </w:p>
    <w:p w14:paraId="7AF6A8E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Этанол 70% – 100 мл</w:t>
      </w:r>
    </w:p>
    <w:p w14:paraId="4F2434B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Роторасширитель №1</w:t>
      </w:r>
    </w:p>
    <w:p w14:paraId="6EF4592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Языкодержатель №1</w:t>
      </w:r>
    </w:p>
    <w:p w14:paraId="4453C3A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Жгут №1</w:t>
      </w:r>
    </w:p>
    <w:p w14:paraId="3FA5AA4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Шприцы одноразового пользования 1 мл, 2 мл, 5 мл, 10 мл и иглы к ним по 5 шт.</w:t>
      </w:r>
    </w:p>
    <w:p w14:paraId="6C43E7C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В/в катетер или игла (калибром G14-18; 2,2-1,2 мм) №5</w:t>
      </w:r>
    </w:p>
    <w:p w14:paraId="1D9FD7C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Система для в/в капельных инфузий №2</w:t>
      </w:r>
    </w:p>
    <w:p w14:paraId="21EC731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Перчатки медицинские одноразовые 2 пары</w:t>
      </w:r>
    </w:p>
    <w:p w14:paraId="25326ED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Воздуховод</w:t>
      </w:r>
    </w:p>
    <w:p w14:paraId="3709886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 xml:space="preserve"> Аппарат дыхательный ручной (тип AMBU)</w:t>
      </w:r>
    </w:p>
    <w:p w14:paraId="24DD2FD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Ларингеальная маска</w:t>
      </w:r>
    </w:p>
    <w:p w14:paraId="31B2E43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90" w:lineRule="atLeast"/>
        <w:ind w:left="450" w:hanging="360"/>
        <w:jc w:val="both"/>
        <w:rPr>
          <w:rFonts w:ascii="Times New Roman" w:hAnsi="Times New Roman" w:cs="Times New Roman"/>
          <w:color w:val="22222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ru-RU"/>
        </w:rPr>
        <w:t>Надгортанные</w:t>
      </w:r>
      <w:r>
        <w:rPr>
          <w:rFonts w:hint="default" w:ascii="Times New Roman" w:hAnsi="Times New Roman" w:cs="Times New Roman"/>
          <w:color w:val="222222"/>
          <w:sz w:val="20"/>
          <w:szCs w:val="20"/>
          <w:lang w:val="ru-RU"/>
        </w:rPr>
        <w:t xml:space="preserve"> устройства для обеспечения проходимости дыхательных путей</w:t>
      </w:r>
    </w:p>
    <w:p w14:paraId="6A4603A0">
      <w:pPr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16B310B">
      <w:pPr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_______________</w:t>
      </w:r>
    </w:p>
    <w:p w14:paraId="4BAB2329">
      <w:pPr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*Из федеральных клинических рекомендаций по диагностике и лечению анафилаксии / Российская ассоциация аллергологов и клинических иммунологов (РААКИ), 202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год, Рубрикатор Минздрава</w:t>
      </w:r>
    </w:p>
    <w:p w14:paraId="787D58BC"/>
    <w:p w14:paraId="0AEAA16D">
      <w:pPr>
        <w:rPr>
          <w:b/>
        </w:rPr>
      </w:pPr>
      <w:r>
        <w:rPr>
          <w:b/>
        </w:rPr>
        <w:t>4. Укладка для оказания первичной медико-санитарной помощи взрослым в неотложной форме</w:t>
      </w:r>
    </w:p>
    <w:p w14:paraId="2F9077C9">
      <w:r>
        <w:rPr>
          <w:b/>
        </w:rPr>
        <w:t>Где хранить укладку.</w:t>
      </w:r>
      <w:r>
        <w:t xml:space="preserve"> Храните укладки для оказания первичной медико-санитарной помощи взрослым в неотложной форме во всех помещениях подразделений, где это предусмотрено порядками оказания медпомощи и перечнем оснащения. Например, в кабинете оказания доврачебной помощи, процедурном кабинете.</w:t>
      </w:r>
    </w:p>
    <w:p w14:paraId="66FCCB5B"/>
    <w:p w14:paraId="0B39625A">
      <w:r>
        <w:rPr>
          <w:b/>
        </w:rPr>
        <w:t>Как формировать состав.</w:t>
      </w:r>
      <w:r>
        <w:t xml:space="preserve"> Комплектуйте состав по приказу Минздрава от 30.10.2020 № 1183н. Он действует до 1 января 2027 года. Какие изделия добавить в укладку, смотрите в таблице. Проверьте по таблице ниже наименование и форму препаратов, которые необходимо включить в укладку для оказания первичной помощи в неотложной форме.</w:t>
      </w:r>
    </w:p>
    <w:p w14:paraId="6F67427A">
      <w:r>
        <w:rPr>
          <w:lang w:val="ru-RU"/>
        </w:rPr>
        <w:drawing>
          <wp:inline distT="114300" distB="114300" distL="114300" distR="114300">
            <wp:extent cx="5730875" cy="21209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8AB17"/>
    <w:p w14:paraId="2EFCF296"/>
    <w:p w14:paraId="11985B78">
      <w:pPr>
        <w:rPr>
          <w:b/>
        </w:rPr>
      </w:pPr>
      <w:r>
        <w:rPr>
          <w:b/>
        </w:rPr>
        <w:t>5. Укладка для исследования материала на ООИ</w:t>
      </w:r>
    </w:p>
    <w:p w14:paraId="388467B8">
      <w:r>
        <w:rPr>
          <w:b/>
        </w:rPr>
        <w:t>Где хранить укладку.</w:t>
      </w:r>
      <w:r>
        <w:t xml:space="preserve"> Храните укладки для забора и исследования материала на особо опасные инфекции в кабинетах и отделениях с круглосуточным режимом работы. Например, если в медорганизации есть стационар, то храните укладку в приемном отделении. Сформируйте не менее одной укладки для исследований материала на ООИ. Проверьте, чтобы в приказе указали наличие и место хранения укладок с запасом необходимых медикаментов для лечения больного, дезсредств, средств личной профилактики и индивидуальной защиты, забора материала для лабораторного исследования, а также фамилию ответственного за укомплектование укладок, их хранение и обеспечение доступа к ним в нерабочее время.</w:t>
      </w:r>
    </w:p>
    <w:p w14:paraId="7F092A8E">
      <w:pPr>
        <w:rPr>
          <w:b/>
        </w:rPr>
      </w:pPr>
    </w:p>
    <w:p w14:paraId="73E7B544">
      <w:r>
        <w:rPr>
          <w:b/>
        </w:rPr>
        <w:t>Как формировать состав.</w:t>
      </w:r>
      <w:r>
        <w:t xml:space="preserve"> Укомплектуйте укладки для забора материала для исследования на ООИ по Методическим указаниям Роспотребнадзора (МУ 3.4.2552-09). Полный состав укладки смотрите в таблице ниже. Учитывайте, что полный комплект должен быть в медорганизациях инфекционного профиля и учреждениях Роспотребнадзора. В клиниках общего профиля нужны предметы для забора, хранения и транспортировки проб крови и биоматериалов, а также СИЗ для работы с пациентами и канцелярские изделия.</w:t>
      </w:r>
    </w:p>
    <w:p w14:paraId="12FBE165">
      <w:r>
        <w:rPr>
          <w:lang w:val="ru-RU"/>
        </w:rPr>
        <w:drawing>
          <wp:inline distT="114300" distB="114300" distL="114300" distR="114300">
            <wp:extent cx="5730875" cy="185420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AD1A0"/>
    <w:p w14:paraId="3E52B3F1">
      <w:pPr>
        <w:rPr>
          <w:b/>
        </w:rPr>
      </w:pPr>
      <w:r>
        <w:rPr>
          <w:b/>
        </w:rPr>
        <w:t>6. Укладка для проведения экстренной личной профилактики</w:t>
      </w:r>
    </w:p>
    <w:p w14:paraId="1A1326CB">
      <w:r>
        <w:rPr>
          <w:b/>
        </w:rPr>
        <w:t xml:space="preserve">Где хранить укладку. </w:t>
      </w:r>
      <w:r>
        <w:t>Храните укладку для проведения экстренной личной профилактики в местах со свободным доступом для сотрудников. Персонал должен иметь доступ не только в будни, но ночью и в выходные дни. Для этой цели подойдет приемное отделение стационара. Формируйте не менее одной укладки на медорганизацию. Убедитесь, что в приказе указали наличие и место хранения укладок с запасом необходимых медикаментов и фамилию ответственного за укомплектование, хранение и обеспечение доступа к укладке.</w:t>
      </w:r>
    </w:p>
    <w:p w14:paraId="6F1F7E92"/>
    <w:p w14:paraId="1F6C2FA8">
      <w:r>
        <w:rPr>
          <w:b/>
        </w:rPr>
        <w:t xml:space="preserve">Как формировать состав. </w:t>
      </w:r>
      <w:r>
        <w:t>Формируйте укладки для проведения экстренной личной профилактики по Методическим указаниям Роспотребнадзора (МУ 3.4.2552-09). Полный состав укладки смотрите в таблице.</w:t>
      </w:r>
    </w:p>
    <w:p w14:paraId="51CB6AB4">
      <w:r>
        <w:rPr>
          <w:lang w:val="ru-RU"/>
        </w:rPr>
        <w:drawing>
          <wp:inline distT="114300" distB="114300" distL="114300" distR="114300">
            <wp:extent cx="5730875" cy="19939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42405"/>
    <w:p w14:paraId="04ECFF75">
      <w:pPr>
        <w:rPr>
          <w:b/>
        </w:rPr>
      </w:pPr>
      <w:r>
        <w:rPr>
          <w:b/>
        </w:rPr>
        <w:t>7. Противопедикулезная укладка</w:t>
      </w:r>
    </w:p>
    <w:p w14:paraId="628B3B88">
      <w:r>
        <w:rPr>
          <w:b/>
        </w:rPr>
        <w:t>Где хранить укладку.</w:t>
      </w:r>
      <w:r>
        <w:t xml:space="preserve"> Храните укладку против педикулеза в приемном или приемно-диагностическом отделении. Она предназначена для противопедикулезной санитарной обработки пациентов с головными и платяными вшами. Сформируйте такие укладки в отделениях стационара для проведения повторной обработки пациентов с выявленным волосяным педикулезом.</w:t>
      </w:r>
    </w:p>
    <w:p w14:paraId="0B9ED33B"/>
    <w:p w14:paraId="69468954">
      <w:r>
        <w:rPr>
          <w:b/>
        </w:rPr>
        <w:t>Как формировать состав.</w:t>
      </w:r>
      <w:r>
        <w:t xml:space="preserve"> Укомплектуйте противопедикулезную укладку по приказу Минздрава от 26.11.1998 № 342. Проверьте по чек-листу ниже, что включить в укладку. Полный перечень препаратов, которые необходимо включить в противопедикулезную укладку, посмотрите в таблице. Периодически обновляйте состав укладки по срокам годности препаратов.</w:t>
      </w:r>
    </w:p>
    <w:p w14:paraId="3805B680">
      <w:r>
        <w:rPr>
          <w:lang w:val="ru-RU"/>
        </w:rPr>
        <w:drawing>
          <wp:inline distT="114300" distB="114300" distL="114300" distR="114300">
            <wp:extent cx="5111750" cy="2908300"/>
            <wp:effectExtent l="0" t="0" r="0" b="635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2040" cy="290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3729F"/>
    <w:multiLevelType w:val="multilevel"/>
    <w:tmpl w:val="4D8372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F727C2A"/>
    <w:multiLevelType w:val="singleLevel"/>
    <w:tmpl w:val="4F727C2A"/>
    <w:lvl w:ilvl="0" w:tentative="0">
      <w:start w:val="1"/>
      <w:numFmt w:val="decimal"/>
      <w:lvlText w:val="%1."/>
      <w:legacy w:legacy="1" w:legacySpace="0" w:legacyIndent="630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E"/>
    <w:rsid w:val="00252AA3"/>
    <w:rsid w:val="00607F07"/>
    <w:rsid w:val="00723B5A"/>
    <w:rsid w:val="00DE651E"/>
    <w:rsid w:val="0A6634D3"/>
    <w:rsid w:val="0BFC773A"/>
    <w:rsid w:val="2810508D"/>
    <w:rsid w:val="479C212D"/>
    <w:rsid w:val="563430D0"/>
    <w:rsid w:val="6A326FBA"/>
    <w:rsid w:val="726A7902"/>
    <w:rsid w:val="73CA169A"/>
    <w:rsid w:val="7F2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2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styleId="13">
    <w:name w:val="Table Grid"/>
    <w:basedOn w:val="9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1843</Words>
  <Characters>10507</Characters>
  <Lines>87</Lines>
  <Paragraphs>24</Paragraphs>
  <TotalTime>23</TotalTime>
  <ScaleCrop>false</ScaleCrop>
  <LinksUpToDate>false</LinksUpToDate>
  <CharactersWithSpaces>12326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2024-12-25T15:55:00Z</dcterms:created>
  <dc:creator>Котова Наталья Васильевна</dc:creator>
  <cp:lastModifiedBy>Лиза Бурденева</cp:lastModifiedBy>
  <dcterms:modified xsi:type="dcterms:W3CDTF">2026-01-30T12:51:24Z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6EF1E51D28594FB2A11644378AFB23B9_12</vt:lpwstr>
  </property>
</Properties>
</file>